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4AD9" w:rsidR="007A3879" w:rsidP="007A3879" w:rsidRDefault="007A3879" w14:paraId="6EB7100C" w14:textId="4E491E61">
      <w:pPr>
        <w:autoSpaceDE w:val="0"/>
        <w:autoSpaceDN w:val="0"/>
        <w:adjustRightInd w:val="0"/>
        <w:ind w:left="426"/>
        <w:jc w:val="center"/>
        <w:rPr>
          <w:rFonts w:ascii="Helvetica" w:hAnsi="Helvetica"/>
          <w:b/>
          <w:bCs/>
          <w:color w:val="333333"/>
          <w:sz w:val="24"/>
          <w:szCs w:val="24"/>
        </w:rPr>
      </w:pPr>
      <w:r w:rsidRPr="00E64AD9">
        <w:rPr>
          <w:rFonts w:ascii="Helvetica" w:hAnsi="Helvetica"/>
          <w:b/>
          <w:bCs/>
          <w:color w:val="333333"/>
          <w:sz w:val="24"/>
          <w:szCs w:val="24"/>
        </w:rPr>
        <w:t xml:space="preserve">Resumo TTS – </w:t>
      </w:r>
      <w:r w:rsidRPr="00E64AD9" w:rsidR="00EA6759">
        <w:rPr>
          <w:rFonts w:ascii="Helvetica" w:hAnsi="Helvetica"/>
          <w:b/>
          <w:bCs/>
          <w:color w:val="333333"/>
          <w:sz w:val="24"/>
          <w:szCs w:val="24"/>
        </w:rPr>
        <w:t xml:space="preserve">Carga Efetiva </w:t>
      </w:r>
      <w:r w:rsidRPr="00E64AD9">
        <w:rPr>
          <w:rFonts w:ascii="Helvetica" w:hAnsi="Helvetica"/>
          <w:b/>
          <w:bCs/>
          <w:color w:val="333333"/>
          <w:sz w:val="24"/>
          <w:szCs w:val="24"/>
        </w:rPr>
        <w:t>- Portaria Conjunta SUTRI-SUFIS-SAIF 01/2014</w:t>
      </w:r>
    </w:p>
    <w:p w:rsidRPr="00E64AD9" w:rsidR="007A3879" w:rsidP="000601EE" w:rsidRDefault="007A3879" w14:paraId="25535DB3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E64AD9" w:rsidR="007F43E5" w:rsidP="000601EE" w:rsidRDefault="007F43E5" w14:paraId="06FE1090" w14:textId="5A3C9F5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E64AD9">
        <w:rPr>
          <w:rFonts w:ascii="Helvetica" w:hAnsi="Helvetica"/>
          <w:color w:val="333333"/>
          <w:sz w:val="26"/>
          <w:szCs w:val="26"/>
        </w:rPr>
        <w:t xml:space="preserve">O Crédito Presumido </w:t>
      </w:r>
      <w:r w:rsidRPr="00E64AD9" w:rsidR="00EA6759">
        <w:rPr>
          <w:rFonts w:ascii="Helvetica" w:hAnsi="Helvetica"/>
          <w:color w:val="333333"/>
          <w:sz w:val="26"/>
          <w:szCs w:val="26"/>
        </w:rPr>
        <w:t>Carga Efetiva</w:t>
      </w:r>
      <w:r w:rsidRPr="00E64AD9">
        <w:rPr>
          <w:rFonts w:ascii="Helvetica" w:hAnsi="Helvetica"/>
          <w:color w:val="333333"/>
          <w:sz w:val="26"/>
          <w:szCs w:val="26"/>
        </w:rPr>
        <w:t xml:space="preserve"> está bem explicado pela Portaria Conjunta SUTRI-SUFIS-SAIF nº 01, de 12 de setembro de 2014. Deverá ser estudado o “MANUAL DE ORIENTAÇÕES ESCRITURAÇÃO FISCAL DIGITAL TRATAMENTO TRIBUTÁRIO DIFERENCIADO” que é uma reprodução da referida Portaria. </w:t>
      </w:r>
    </w:p>
    <w:p w:rsidRPr="00E64AD9" w:rsidR="007A3879" w:rsidP="000601EE" w:rsidRDefault="007A3879" w14:paraId="12D6674B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E64AD9" w:rsidR="007F43E5" w:rsidP="000601EE" w:rsidRDefault="007A3879" w14:paraId="5BCE153D" w14:textId="2F841BC3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E64AD9">
        <w:rPr>
          <w:rFonts w:ascii="Helvetica" w:hAnsi="Helvetica"/>
          <w:color w:val="333333"/>
          <w:sz w:val="26"/>
          <w:szCs w:val="26"/>
        </w:rPr>
        <w:t>R</w:t>
      </w:r>
      <w:r w:rsidRPr="00E64AD9" w:rsidR="007F43E5">
        <w:rPr>
          <w:rFonts w:ascii="Helvetica" w:hAnsi="Helvetica"/>
          <w:color w:val="333333"/>
          <w:sz w:val="26"/>
          <w:szCs w:val="26"/>
        </w:rPr>
        <w:t>esumiremos abaixo os procedimentos de obrigações acessórias vinculados a</w:t>
      </w:r>
      <w:r w:rsidRPr="00E64AD9" w:rsidR="00EA6759">
        <w:rPr>
          <w:rFonts w:ascii="Helvetica" w:hAnsi="Helvetica"/>
          <w:color w:val="333333"/>
          <w:sz w:val="26"/>
          <w:szCs w:val="26"/>
        </w:rPr>
        <w:t>o</w:t>
      </w:r>
      <w:r w:rsidRPr="00E64AD9" w:rsidR="007F43E5">
        <w:rPr>
          <w:rFonts w:ascii="Helvetica" w:hAnsi="Helvetica"/>
          <w:color w:val="333333"/>
          <w:sz w:val="26"/>
          <w:szCs w:val="26"/>
        </w:rPr>
        <w:t xml:space="preserve"> Crédito Presumido </w:t>
      </w:r>
      <w:r w:rsidRPr="00E64AD9" w:rsidR="00EA6759">
        <w:rPr>
          <w:rFonts w:ascii="Helvetica" w:hAnsi="Helvetica"/>
          <w:color w:val="333333"/>
          <w:sz w:val="26"/>
          <w:szCs w:val="26"/>
        </w:rPr>
        <w:t>Carga Efetiva</w:t>
      </w:r>
      <w:r w:rsidRPr="00E64AD9" w:rsidR="007F43E5">
        <w:rPr>
          <w:rFonts w:ascii="Helvetica" w:hAnsi="Helvetica"/>
          <w:color w:val="333333"/>
          <w:sz w:val="26"/>
          <w:szCs w:val="26"/>
        </w:rPr>
        <w:t>:</w:t>
      </w:r>
    </w:p>
    <w:p w:rsidRPr="00E64AD9" w:rsidR="007A3879" w:rsidP="000601EE" w:rsidRDefault="007A3879" w14:paraId="128566D4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E64AD9" w:rsidR="007F43E5" w:rsidP="000601EE" w:rsidRDefault="007F43E5" w14:paraId="0C11B675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E64AD9">
        <w:rPr>
          <w:rFonts w:ascii="Helvetica" w:hAnsi="Helvetica"/>
          <w:b/>
          <w:bCs/>
          <w:color w:val="333333"/>
          <w:sz w:val="26"/>
          <w:szCs w:val="26"/>
          <w:u w:val="single"/>
        </w:rPr>
        <w:t>-Estorno dos créditos</w:t>
      </w:r>
      <w:r w:rsidRPr="00E64AD9">
        <w:rPr>
          <w:rFonts w:ascii="Helvetica" w:hAnsi="Helvetica"/>
          <w:color w:val="333333"/>
          <w:sz w:val="26"/>
          <w:szCs w:val="26"/>
        </w:rPr>
        <w:t xml:space="preserve"> (emissão de NF-e) apropriados por Entrada vinculados com as operações de saídas beneficiadas com crédito presumido. </w:t>
      </w:r>
      <w:r w:rsidRPr="00E64AD9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E64AD9">
        <w:rPr>
          <w:rFonts w:ascii="Helvetica" w:hAnsi="Helvetica"/>
          <w:color w:val="333333"/>
          <w:sz w:val="26"/>
          <w:szCs w:val="26"/>
        </w:rPr>
        <w:t xml:space="preserve">: campo ‘95’ (Estorno Créditos). </w:t>
      </w:r>
      <w:r w:rsidRPr="00E64AD9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E64AD9">
        <w:rPr>
          <w:rFonts w:ascii="Helvetica" w:hAnsi="Helvetica"/>
          <w:color w:val="333333"/>
          <w:sz w:val="26"/>
          <w:szCs w:val="26"/>
        </w:rPr>
        <w:t xml:space="preserve">: Ajuste de Documento </w:t>
      </w:r>
      <w:r w:rsidRPr="00E64AD9">
        <w:rPr>
          <w:rFonts w:ascii="Helvetica" w:hAnsi="Helvetica"/>
          <w:b/>
          <w:bCs/>
          <w:color w:val="333333"/>
          <w:sz w:val="26"/>
          <w:szCs w:val="26"/>
        </w:rPr>
        <w:t xml:space="preserve">C197 MG50000100 </w:t>
      </w:r>
      <w:r w:rsidRPr="00E64AD9">
        <w:rPr>
          <w:rFonts w:ascii="Helvetica" w:hAnsi="Helvetica"/>
          <w:color w:val="333333"/>
          <w:sz w:val="26"/>
          <w:szCs w:val="26"/>
        </w:rPr>
        <w:t>“Estorno de crédito – TTD”. Efeito no campo ’03’ (</w:t>
      </w:r>
      <w:proofErr w:type="spellStart"/>
      <w:r w:rsidRPr="00E64AD9">
        <w:rPr>
          <w:rFonts w:ascii="Helvetica" w:hAnsi="Helvetica"/>
          <w:color w:val="333333"/>
          <w:sz w:val="26"/>
          <w:szCs w:val="26"/>
        </w:rPr>
        <w:t>Vl_Aj_Débitos</w:t>
      </w:r>
      <w:proofErr w:type="spellEnd"/>
      <w:r w:rsidRPr="00E64AD9">
        <w:rPr>
          <w:rFonts w:ascii="Helvetica" w:hAnsi="Helvetica"/>
          <w:color w:val="333333"/>
          <w:sz w:val="26"/>
          <w:szCs w:val="26"/>
        </w:rPr>
        <w:t>) do Registro E110 (Apuração do ICMS - Operações Próprias).</w:t>
      </w:r>
    </w:p>
    <w:p w:rsidRPr="00E64AD9" w:rsidR="007F43E5" w:rsidP="000601EE" w:rsidRDefault="007F43E5" w14:paraId="1E914C32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="00EA6759" w:rsidP="00EA6759" w:rsidRDefault="00EA6759" w14:paraId="39099F1D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</w:p>
    <w:p w:rsidR="007A3879" w:rsidP="000601EE" w:rsidRDefault="00E64AD9" w14:paraId="3DC6329D" w14:textId="132BC37A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u w:val="single"/>
          <w:shd w:val="clear" w:color="auto" w:fill="FFFFFF"/>
        </w:rPr>
        <w:t>-Crédito Presumido</w:t>
      </w:r>
      <w:r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DAPI</w:t>
      </w:r>
      <w:r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efeito no campo 67 “Crédito Presumido”.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EFD</w:t>
      </w:r>
      <w:r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>: Ajuste de Apuração E111 “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MG020002</w:t>
      </w:r>
      <w:r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Apuração do ICMS, outros créditos, referentes ao valor total do crédito presumido apurado”. Efeito no campo ‘08’ (VL_TOT_AJ_CREDITOS) do Registro E110.</w:t>
      </w:r>
      <w:r>
        <w:rPr>
          <w:rStyle w:val="eop"/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</w:p>
    <w:p w:rsidR="00EA6759" w:rsidP="000601EE" w:rsidRDefault="00EA6759" w14:paraId="692D5906" w14:textId="50CB47E2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</w:p>
    <w:p w:rsidR="00E64AD9" w:rsidP="00E64AD9" w:rsidRDefault="00E64AD9" w14:paraId="6C596C43" w14:textId="268EB058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u w:val="single"/>
        </w:rPr>
        <w:t>-Deduções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</w:rPr>
        <w:t xml:space="preserve"> cultura/esporte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>.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</w:rPr>
        <w:t>DAPI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 xml:space="preserve">: campo ‘98’.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</w:rPr>
        <w:t>EFD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 xml:space="preserve">: Ajustes de Apuração E111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</w:rPr>
        <w:t>MG040003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 xml:space="preserve"> “Dedução do imposto apurado” (cultura) e </w:t>
      </w:r>
      <w:r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</w:rPr>
        <w:t>MG040004</w:t>
      </w:r>
      <w:r>
        <w:rPr>
          <w:rStyle w:val="normaltextrun"/>
          <w:rFonts w:ascii="Helvetica" w:hAnsi="Helvetica" w:cs="Helvetica"/>
          <w:color w:val="333333"/>
          <w:sz w:val="26"/>
          <w:szCs w:val="26"/>
        </w:rPr>
        <w:t xml:space="preserve"> “Dedução do imposto apurado” (esporte). Efeito no campo ‘12’ (VL_TOT_DED) do Registro E110. No detalhamento do campo ‘98’ o</w:t>
      </w:r>
      <w:r>
        <w:rPr>
          <w:rStyle w:val="normaltextrun"/>
          <w:rFonts w:ascii="Helvetica" w:hAnsi="Helvetica" w:cs="Helvetica"/>
          <w:color w:val="333333"/>
          <w:sz w:val="26"/>
          <w:szCs w:val="26"/>
          <w:u w:val="single"/>
        </w:rPr>
        <w:t>s valores de dedução deverão ser levados a estorno no quadro “Saldo de Incentivo ao Esporte ou Cultura” no montante da dedução realizada.</w:t>
      </w:r>
      <w:r>
        <w:rPr>
          <w:rStyle w:val="eop"/>
          <w:rFonts w:ascii="Helvetica" w:hAnsi="Helvetica" w:cs="Helvetica"/>
          <w:color w:val="333333"/>
          <w:sz w:val="26"/>
          <w:szCs w:val="26"/>
        </w:rPr>
        <w:t> </w:t>
      </w:r>
    </w:p>
    <w:p w:rsidR="00E64AD9" w:rsidP="00E64AD9" w:rsidRDefault="00E64AD9" w14:paraId="3D9B4498" w14:textId="77777777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33333"/>
          <w:sz w:val="26"/>
          <w:szCs w:val="26"/>
        </w:rPr>
        <w:t> </w:t>
      </w:r>
    </w:p>
    <w:p w:rsidR="00E64AD9" w:rsidP="1DFBCBE0" w:rsidRDefault="00E64AD9" w14:paraId="21919B72" w14:textId="08786D94">
      <w:pPr>
        <w:pStyle w:val="Normal"/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  <w:r w:rsidR="00E64AD9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u w:val="single"/>
          <w:shd w:val="clear" w:color="auto" w:fill="FFFFFF"/>
        </w:rPr>
        <w:t>-Devoluções (Entradas)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- Apuração – 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u w:val="single"/>
          <w:shd w:val="clear" w:color="auto" w:fill="FFFFFF"/>
        </w:rPr>
        <w:t>apuração do valor correspondente à parcela excedente dos créditos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r w:rsidR="00E64AD9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>DAPI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: campo ‘95’ código 3 = Estorno de crédito TTD. </w:t>
      </w:r>
      <w:r w:rsidR="00E64AD9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>EFD</w:t>
      </w:r>
      <w:r w:rsidR="61AD4E1B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 xml:space="preserve"> até 28/02/2022:</w:t>
      </w:r>
      <w:r w:rsidR="355BCBC4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 xml:space="preserve"> </w:t>
      </w:r>
      <w:r w:rsidRPr="1DFBCBE0" w:rsidR="355BCBC4">
        <w:rPr>
          <w:rStyle w:val="normaltextrun"/>
          <w:rFonts w:ascii="Helvetica" w:hAnsi="Helvetica" w:cs="Helvetica"/>
          <w:b w:val="0"/>
          <w:bCs w:val="0"/>
          <w:color w:val="333333"/>
          <w:sz w:val="26"/>
          <w:szCs w:val="26"/>
          <w:shd w:val="clear" w:color="auto" w:fill="FFFFFF"/>
        </w:rPr>
        <w:t>A</w:t>
      </w:r>
      <w:r w:rsidRPr="1DFBCBE0" w:rsidR="61AD4E1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pt-BR"/>
        </w:rPr>
        <w:t xml:space="preserve">juste de documento C197 </w:t>
      </w:r>
      <w:r w:rsidRPr="1DFBCBE0" w:rsidR="61AD4E1B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6"/>
          <w:szCs w:val="26"/>
          <w:lang w:val="pt-BR"/>
        </w:rPr>
        <w:t xml:space="preserve">MG50000100 </w:t>
      </w:r>
      <w:r w:rsidRPr="1DFBCBE0" w:rsidR="61AD4E1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pt-BR"/>
        </w:rPr>
        <w:t>“Estorno de crédito – TTD. Efeito no campo ‘03’ (</w:t>
      </w:r>
      <w:r w:rsidRPr="1DFBCBE0" w:rsidR="61AD4E1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pt-BR"/>
        </w:rPr>
        <w:t>Vl_Aj_Débitos</w:t>
      </w:r>
      <w:r w:rsidRPr="1DFBCBE0" w:rsidR="61AD4E1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pt-BR"/>
        </w:rPr>
        <w:t xml:space="preserve">) do Registro E110. </w:t>
      </w:r>
      <w:r w:rsidR="6ABC499F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 xml:space="preserve">EFD a </w:t>
      </w:r>
      <w:r w:rsidR="6ABC499F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 xml:space="preserve">partir </w:t>
      </w:r>
      <w:r w:rsidR="4E3C1EC3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>de 01/03/2022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: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Ajuste de documento C197 </w:t>
      </w:r>
      <w:r w:rsidR="00E64AD9">
        <w:rPr>
          <w:rStyle w:val="normaltextrun"/>
          <w:rFonts w:ascii="Helvetica" w:hAnsi="Helvetica" w:cs="Helvetica"/>
          <w:b w:val="1"/>
          <w:bCs w:val="1"/>
          <w:color w:val="333333"/>
          <w:sz w:val="26"/>
          <w:szCs w:val="26"/>
          <w:shd w:val="clear" w:color="auto" w:fill="FFFFFF"/>
        </w:rPr>
        <w:t xml:space="preserve">MG50000200 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>“Estorno de crédito – TTD - devolução”. Efeito no campo ‘03’ (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>Vl_Aj_Débitos</w:t>
      </w:r>
      <w:r w:rsid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>) do Registro E110. </w:t>
      </w:r>
      <w:r w:rsidR="00E64AD9">
        <w:rPr>
          <w:rStyle w:val="eop"/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</w:p>
    <w:p w:rsidR="00E64AD9" w:rsidP="000601EE" w:rsidRDefault="00E64AD9" w14:paraId="63A87283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</w:p>
    <w:p w:rsidR="00EA6759" w:rsidP="000601EE" w:rsidRDefault="00EA6759" w14:paraId="7406A281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0"/>
          <w:szCs w:val="20"/>
          <w:u w:val="single"/>
        </w:rPr>
      </w:pPr>
    </w:p>
    <w:p w:rsidRPr="00E64AD9" w:rsidR="007F43E5" w:rsidP="007A3879" w:rsidRDefault="007A3879" w14:paraId="73CA45A9" w14:textId="2BFA1B80">
      <w:pPr>
        <w:ind w:left="284"/>
        <w:jc w:val="both"/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E64AD9">
        <w:rPr>
          <w:rStyle w:val="normaltextrun"/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Observação</w:t>
      </w:r>
      <w:r w:rsidRPr="00E64AD9">
        <w:rPr>
          <w:rStyle w:val="normaltextrun"/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: os contribuintes que aderiram ao Desobrigar DAPI deverão desconsiderar as informações relativas ao preenchimento da DAPI, considerando que será elaborada DAPI Virtual a partir da transmissão da EFD. </w:t>
      </w:r>
    </w:p>
    <w:p w:rsidR="00EA6759" w:rsidP="007A3879" w:rsidRDefault="00EA6759" w14:paraId="34FDB88B" w14:textId="77777777">
      <w:pPr>
        <w:ind w:left="284"/>
        <w:jc w:val="both"/>
      </w:pPr>
    </w:p>
    <w:sectPr w:rsidR="00EA6759" w:rsidSect="000601EE">
      <w:pgSz w:w="11906" w:h="16838" w:orient="portrait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8"/>
    <w:rsid w:val="000601EE"/>
    <w:rsid w:val="001F6FE8"/>
    <w:rsid w:val="003D5E96"/>
    <w:rsid w:val="007A3879"/>
    <w:rsid w:val="007F43E5"/>
    <w:rsid w:val="00870FEA"/>
    <w:rsid w:val="00A646E3"/>
    <w:rsid w:val="00E64AD9"/>
    <w:rsid w:val="00EA6759"/>
    <w:rsid w:val="1DFBCBE0"/>
    <w:rsid w:val="34A16E40"/>
    <w:rsid w:val="355BCBC4"/>
    <w:rsid w:val="3832FB03"/>
    <w:rsid w:val="3B6E3D58"/>
    <w:rsid w:val="47D5885F"/>
    <w:rsid w:val="4C6DA119"/>
    <w:rsid w:val="4E3C1EC3"/>
    <w:rsid w:val="61AD4E1B"/>
    <w:rsid w:val="648DDAA9"/>
    <w:rsid w:val="6730BA32"/>
    <w:rsid w:val="6ABC499F"/>
    <w:rsid w:val="6D49C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43C"/>
  <w15:chartTrackingRefBased/>
  <w15:docId w15:val="{851BCE60-E157-4A0A-91CB-2E6A391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3E5"/>
    <w:pPr>
      <w:spacing w:after="0" w:line="240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normaltextrun" w:customStyle="1">
    <w:name w:val="normaltextrun"/>
    <w:basedOn w:val="Fontepargpadro"/>
    <w:rsid w:val="00E64AD9"/>
  </w:style>
  <w:style w:type="character" w:styleId="eop" w:customStyle="1">
    <w:name w:val="eop"/>
    <w:basedOn w:val="Fontepargpadro"/>
    <w:rsid w:val="00E64AD9"/>
  </w:style>
  <w:style w:type="paragraph" w:styleId="paragraph" w:customStyle="1">
    <w:name w:val="paragraph"/>
    <w:basedOn w:val="Normal"/>
    <w:rsid w:val="00E64AD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Guilherme Henrique Paiva Vieira</dc:creator>
  <keywords/>
  <dc:description/>
  <lastModifiedBy>Guilherme Henrique Paiva Vieira</lastModifiedBy>
  <revision>5</revision>
  <dcterms:created xsi:type="dcterms:W3CDTF">2023-06-06T13:56:00.0000000Z</dcterms:created>
  <dcterms:modified xsi:type="dcterms:W3CDTF">2023-06-14T17:03:40.9375696Z</dcterms:modified>
</coreProperties>
</file>